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Eligibility to attend school</w:t>
      </w:r>
    </w:p>
    <w:p>
      <w:pPr>
        <w:jc w:val="both"/>
        <w:spacing w:before="100" w:after="100"/>
        <w:ind w:start="360"/>
        <w:ind w:firstLine="360"/>
      </w:pPr>
      <w:r>
        <w:rPr/>
      </w:r>
      <w:r>
        <w:rPr/>
      </w:r>
      <w:r>
        <w:t xml:space="preserve">A child who holds a written certification for the medical use of cannabis under </w:t>
      </w:r>
      <w:r>
        <w:t>Title 22, section 2423‑B</w:t>
      </w:r>
      <w:r>
        <w:t xml:space="preserve"> may not be denied eligibility to attend school solely because the child requires medical cannabis in a nonsmokeable form as a reasonable accommodation necessary for the child to attend school.</w:t>
      </w:r>
      <w:r>
        <w:t xml:space="preserve">  </w:t>
      </w:r>
      <w:r xmlns:wp="http://schemas.openxmlformats.org/drawingml/2010/wordprocessingDrawing" xmlns:w15="http://schemas.microsoft.com/office/word/2012/wordml">
        <w:rPr>
          <w:rFonts w:ascii="Arial" w:hAnsi="Arial" w:cs="Arial"/>
          <w:sz w:val="22"/>
          <w:szCs w:val="22"/>
        </w:rPr>
        <w:t xml:space="preserve">[PL 2015, c. 369,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369,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§6306. Eligibility to attend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Eligibility to attend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§6306. ELIGIBILITY TO ATTEND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