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§6681. Access to food and use of food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§6681. Access to food and use of food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§6681. ACCESS TO FOOD AND USE OF FOOD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