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6992</w:t>
        <w:t xml:space="preserve">.  </w:t>
      </w:r>
      <w:r>
        <w:rPr>
          <w:b/>
        </w:rPr>
        <w:t xml:space="preserve">Purple Star School</w:t>
      </w:r>
    </w:p>
    <w:p>
      <w:pPr>
        <w:jc w:val="both"/>
        <w:spacing w:before="100" w:after="100"/>
        <w:ind w:start="360"/>
        <w:ind w:firstLine="360"/>
      </w:pPr>
      <w:r>
        <w:rPr/>
      </w:r>
      <w:r>
        <w:rPr/>
      </w:r>
      <w:r>
        <w:t xml:space="preserve">The department shall designate a school administrative unit as a Purple Star School if the school administrative unit applies and qualifies for the designation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§6992. Purple Star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§6992. Purple Star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§6992. PURPLE STAR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