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§7207-A. Surrogate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§7207-A. Surrogate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§7207-A. SURROGATE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