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§7451. Baxter Compensation Authority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Baxter Compensation Authority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§7451. BAXTER COMPENSATION AUTHORITY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