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Residential child care facilities</w:t>
      </w:r>
    </w:p>
    <w:p>
      <w:pPr>
        <w:jc w:val="both"/>
        <w:spacing w:before="100" w:after="100"/>
        <w:ind w:start="360"/>
        <w:ind w:firstLine="360"/>
      </w:pPr>
      <w:r>
        <w:rPr/>
      </w:r>
      <w:r>
        <w:rPr/>
      </w:r>
      <w:r>
        <w:t xml:space="preserve">"Residential child care facilities" shall be licensed in accordance with </w:t>
      </w:r>
      <w:r>
        <w:t>Title 22, section 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§7504. Residential child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Residential child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§7504. RESIDENTIAL CHILD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