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§8207. Financing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Financing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§8207. FINANCING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