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§852. CONSTRUCTION OF STATEWIDE NETWORK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