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8803</w:t>
        <w:t xml:space="preserve">.  </w:t>
      </w:r>
      <w:r>
        <w:rPr>
          <w:b/>
        </w:rPr>
        <w:t xml:space="preserve">Report</w:t>
      </w:r>
    </w:p>
    <w:p>
      <w:pPr>
        <w:jc w:val="both"/>
        <w:spacing w:before="100" w:after="100"/>
        <w:ind w:start="360"/>
        <w:ind w:firstLine="360"/>
      </w:pPr>
      <w:r>
        <w:rPr/>
      </w:r>
      <w:r>
        <w:rPr/>
      </w:r>
      <w:r>
        <w:t xml:space="preserve">The department shall report by November 15, 2021 and annually thereafter to the joint standing committee of the Legislature having jurisdiction over education and cultural affairs on school administrative unit summer educational programs, including but not limited to summer school and extended school year programs. The report must include the number of school administrative units administering such programs, the nature of the programs, the number of participants in the programs, any partnerships with community-based organizations to provide the programs and the sources of funding for the programs. The report must also include recommendations, and any suggested legislation, on improving summer educational programs and identification of any additional funding needed to ensure the success of summer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2021, c. 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§8803.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