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ATTENDANCE AND DISCIPLINE</w:t>
      </w:r>
    </w:p>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ATTENDANCE AND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ATTENDANCE AND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105. ATTENDANCE AND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