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HIGH SCHOOLS</w:t>
      </w:r>
    </w:p>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HIGH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HIGH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113. HIGH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