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UNION SCHOOLS</w:t>
      </w:r>
    </w:p>
    <w:p>
      <w:pPr>
        <w:jc w:val="both"/>
        <w:spacing w:before="100" w:after="100"/>
        <w:ind w:start="1080" w:hanging="720"/>
      </w:pPr>
      <w:r>
        <w:rPr>
          <w:b/>
        </w:rPr>
        <w:t>§</w:t>
        <w:t>521</w:t>
        <w:t xml:space="preserve">.  </w:t>
      </w:r>
      <w:r>
        <w:rPr>
          <w:b/>
        </w:rPr>
        <w:t xml:space="preserve">Establishment; management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§8 (AMD). PL 1981, c. 693, §§1,8 (RP). </w:t>
      </w:r>
    </w:p>
    <w:p>
      <w:pPr>
        <w:jc w:val="both"/>
        <w:spacing w:before="100" w:after="100"/>
        <w:ind w:start="1080" w:hanging="720"/>
      </w:pPr>
      <w:r>
        <w:rPr>
          <w:b/>
        </w:rPr>
        <w:t>§</w:t>
        <w:t>522</w:t>
        <w:t xml:space="preserve">.  </w:t>
      </w:r>
      <w:r>
        <w:rPr>
          <w:b/>
        </w:rPr>
        <w:t xml:space="preserve">Union schools;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611, §9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17.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