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LEAVE OF ABSENCE AS LEGISLATORS</w:t>
      </w:r>
    </w:p>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213.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