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STATE SCHOLARSHIPS</w:t>
      </w:r>
    </w:p>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302. STATE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STATE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 STATE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