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322</w:t>
      </w:r>
    </w:p>
    <w:p>
      <w:pPr>
        <w:jc w:val="center"/>
        <w:ind w:start="360"/>
        <w:spacing w:before="300" w:after="300"/>
      </w:pPr>
      <w:r>
        <w:rPr>
          <w:b/>
        </w:rPr>
        <w:t xml:space="preserve">COMPREHENSIVE PLANNING UNDER THE HIGHER EDUCATION FACILITIES ACT OF 1963</w:t>
      </w:r>
    </w:p>
    <w:p>
      <w:pPr>
        <w:jc w:val="both"/>
        <w:spacing w:before="100" w:after="100"/>
        <w:ind w:start="1080" w:hanging="720"/>
      </w:pPr>
      <w:r>
        <w:rPr>
          <w:b/>
        </w:rPr>
        <w:t>§</w:t>
        <w:t>2720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jc w:val="both"/>
        <w:spacing w:before="100" w:after="100"/>
        <w:ind w:start="1080" w:hanging="720"/>
      </w:pPr>
      <w:r>
        <w:rPr>
          <w:b/>
        </w:rPr>
        <w:t>§</w:t>
        <w:t>2721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322. COMPREHENSIVE PLANNING UNDER THE HIGHER EDUCATION FACILITIES ACT OF 1963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322. COMPREHENSIVE PLANNING UNDER THE HIGHER EDUCATION FACILITIES ACT OF 1963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322. COMPREHENSIVE PLANNING UNDER THE HIGHER EDUCATION FACILITIES ACT OF 1963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