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 COMMISSIONER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