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FOUNDATION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511. FOUNDATION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