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515</w:t>
      </w:r>
    </w:p>
    <w:p>
      <w:pPr>
        <w:jc w:val="center"/>
        <w:ind w:start="360"/>
        <w:spacing w:before="300" w:after="300"/>
      </w:pPr>
      <w:r>
        <w:rPr>
          <w:b/>
        </w:rPr>
        <w:t xml:space="preserve">THE SCHOOL FINANCE ACT OF 1978</w:t>
      </w:r>
    </w:p>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§19 (AMD). PL 1981, c. 223, §1 (AMD). PL 1981, c. 693, §§4,8 (RP). </w:t>
      </w:r>
    </w:p>
    <w:p>
      <w:pPr>
        <w:jc w:val="both"/>
        <w:spacing w:before="100" w:after="100"/>
        <w:ind w:start="1080" w:hanging="720"/>
      </w:pPr>
      <w:r>
        <w:rPr>
          <w:b/>
        </w:rPr>
        <w:t>§</w:t>
        <w:t>4748</w:t>
        <w:t xml:space="preserve">.  </w:t>
      </w:r>
      <w:r>
        <w:rPr>
          <w:b/>
        </w:rPr>
        <w:t xml:space="preserve">Computation of the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§§21,22 (AMD). PL 1981, c. 464, §§22,23 (AMD). PL 1981, c. 693, §§4,8 (RP). </w:t>
      </w:r>
    </w:p>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515. THE SCHOOL FINANCE ACT OF 1978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515. THE SCHOOL FINANCE ACT OF 1978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515. THE SCHOOL FINANCE ACT OF 1978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