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432 (AMD). PL 1965, c. 513, §29 (AMD). PL 1967, c. 75 (AMD). PL 1967, c. 425, §19 (AMD). PL 1969, c. 234, §§1,2 (AMD). PL 1969, c. 504, §26 (AMD). PL 1971, c. 168 (AMD). PL 1971, c. 198 (AMD). PL 1971, c. 530, §§2-A (AMD). PL 1971, c. 610, §§7,18 (AMD). PL 1973, c. 70 (AMD). PL 1973, c. 203 (AMD). PL 1973, c. 225 (AMD). PL 1973, c. 571, §§11,12 (AMD). PL 1973, c. 625, §98 (AMD). PL 1973, c. 788, §71 (AMD). PL 1975, c. 746, §§1-A (AMD). PL 1975, c. 771, §175 (AMD). PL 1977, c. 26 (AMD). PL 1977, c. 215 (AMD). PL 1977, c. 497, §1 (AMD). PL 1977, c. 674, §17 (AMD). PL 1977, c. 690, §1 (AMD). PL 1977, c. 694, §308 (AMD). PL 1979, c. 49 (AMD). PL 1979, c. 71 (AMD). PL 1979, c. 670, §2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§102.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