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Dissolution of committees</w:t>
      </w:r>
    </w:p>
    <w:p>
      <w:pPr>
        <w:jc w:val="both"/>
        <w:spacing w:before="100" w:after="100"/>
        <w:ind w:start="360"/>
        <w:ind w:firstLine="360"/>
      </w:pPr>
      <w:r>
        <w:rPr/>
      </w:r>
      <w:r>
        <w:rPr/>
      </w:r>
      <w:r>
        <w:t xml:space="preserve">Whenever any committee determines that it will no longer accept any contributions or make any expenditures, the committee shall file a termination report that includes all financial activity from the end date of the previous reporting period through the date of termination with the commission.  The committee shall dispose of any surplus prior to termination.  In the termination report, the committee shall report any outstanding loan, debt or obligation in the manner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563,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§36 (AMD). PL 2007, c. 443, Pt. A, §37 (AMD). PL 2009, c. 190, Pt. A, §27 (AMD). PL 2013, c. 334, §29 (AMD). PL 2019, c. 563,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§1061. Dissolution of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Dissolution of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§1061. DISSOLUTION OF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