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Formation of new party; organization about a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Formation of new party; organization about a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§302. FORMATION OF NEW PARTY; ORGANIZATION ABOUT A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