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304</w:t>
        <w:t xml:space="preserve">.  </w:t>
      </w:r>
      <w:r>
        <w:rPr>
          <w:b/>
        </w:rPr>
        <w:t xml:space="preserve">Disqualification of parties</w:t>
      </w:r>
    </w:p>
    <w:p>
      <w:pPr>
        <w:jc w:val="both"/>
        <w:spacing w:before="100" w:after="100"/>
        <w:ind w:start="360"/>
        <w:ind w:firstLine="360"/>
      </w:pPr>
      <w:r>
        <w:rPr/>
      </w:r>
      <w:r>
        <w:rPr/>
      </w:r>
      <w:r>
        <w:t xml:space="preserve">A party that does not meet the requirements of </w:t>
      </w:r>
      <w:r>
        <w:t>section 301</w:t>
      </w:r>
      <w:r>
        <w:t xml:space="preserve"> is not qualified to participate in a subsequent election.</w:t>
      </w:r>
      <w:r>
        <w:t xml:space="preserve">  </w:t>
      </w:r>
      <w:r xmlns:wp="http://schemas.openxmlformats.org/drawingml/2010/wordprocessingDrawing" xmlns:w15="http://schemas.microsoft.com/office/word/2012/wordml">
        <w:rPr>
          <w:rFonts w:ascii="Arial" w:hAnsi="Arial" w:cs="Arial"/>
          <w:sz w:val="22"/>
          <w:szCs w:val="22"/>
        </w:rPr>
        <w:t xml:space="preserve">[PL 1999, c. 450,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1999, c. 450, §10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§304. Disqualification of parties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§304. Disqualification of parties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§304. DISQUALIFICATION OF PARTIES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