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Primary required</w:t>
      </w:r>
    </w:p>
    <w:p>
      <w:pPr>
        <w:jc w:val="both"/>
        <w:spacing w:before="100" w:after="0"/>
        <w:ind w:start="360"/>
        <w:ind w:firstLine="360"/>
      </w:pPr>
      <w:r>
        <w:rPr>
          <w:b/>
        </w:rPr>
        <w:t>1</w:t>
        <w:t xml:space="preserve">.  </w:t>
      </w:r>
      <w:r>
        <w:rPr>
          <w:b/>
        </w:rPr>
        <w:t xml:space="preserve">Nomination by primary election.</w:t>
        <w:t xml:space="preserve"> </w:t>
      </w:r>
      <w:r>
        <w:t xml:space="preserve"> </w:t>
      </w:r>
      <w:r>
        <w:t xml:space="preserve">A party's nomination of a candidate must be made by primary election, as provided in this Article.  When there is an office for which no candidate has qualified either by filing a petition and consent under </w:t>
      </w:r>
      <w:r>
        <w:t>sections 335</w:t>
      </w:r>
      <w:r>
        <w:t xml:space="preserve"> and </w:t>
      </w:r>
      <w:r>
        <w:t>336</w:t>
      </w:r>
      <w:r>
        <w:t xml:space="preserve"> or as a write-in candidate in accordance with </w:t>
      </w:r>
      <w:r>
        <w:t>section 722‑A</w:t>
      </w:r>
      <w:r>
        <w:t xml:space="preserve">, the Secretary of State is not required to list the office on the primary ballot.  The Secretary of State is not required to print a primary ballot if there are no offices for which a candidate has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§8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Article does not apply to:</w:t>
      </w:r>
    </w:p>
    <w:p>
      <w:pPr>
        <w:jc w:val="both"/>
        <w:spacing w:before="100" w:after="0"/>
        <w:ind w:start="720"/>
      </w:pPr>
      <w:r>
        <w:rPr/>
        <w:t>A</w:t>
        <w:t xml:space="preserve">.  </w:t>
      </w:r>
      <w:r>
        <w:rPr/>
      </w:r>
      <w:r>
        <w:t xml:space="preserve">Nominations for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Nominations to fill vacancies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Nominations by petition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Limitations to candidacy.</w:t>
        <w:t xml:space="preserve"> </w:t>
      </w:r>
      <w:r>
        <w:t xml:space="preserve"> </w:t>
      </w:r>
      <w:r>
        <w:t xml:space="preserve">The following limitations apply to all candidates for nominations.</w:t>
      </w:r>
    </w:p>
    <w:p>
      <w:pPr>
        <w:jc w:val="both"/>
        <w:spacing w:before="100" w:after="0"/>
        <w:ind w:start="720"/>
      </w:pPr>
      <w:r>
        <w:rPr/>
        <w:t>A</w:t>
        <w:t xml:space="preserve">.  </w:t>
      </w:r>
      <w:r>
        <w:rPr/>
      </w:r>
      <w:r>
        <w:t xml:space="preserve">A person may not file, whether by primary election or nomination petition, as a candidate for more than one federal, state or county office at any election, except for a candidate for membership in a county charter commission or a candidate for presidential elector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§47 (AMD).]</w:t>
      </w:r>
    </w:p>
    <w:p>
      <w:pPr>
        <w:jc w:val="both"/>
        <w:spacing w:before="100" w:after="0"/>
        <w:ind w:start="720"/>
      </w:pPr>
      <w:r>
        <w:rPr/>
        <w:t>B</w:t>
        <w:t xml:space="preserve">.  </w:t>
      </w:r>
      <w:r>
        <w:rPr/>
      </w:r>
      <w:r>
        <w:t xml:space="preserve">A person may file as a candidate for any federal, state or county office either by primary election or nomination petition but not by both, except for a candidate for membership in a county charter commission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§47 (AMD). PL 2015, c. 447,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 Primary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Primary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§331. PRIMARY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