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Ballot security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Ballot security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§609. BALLOT SECURITY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