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§626-A. Voting place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§626-A. Voting place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§626-A. VOTING PLACE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