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§760-B. Procedures when clerk processes absentee ballots prior to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§760-B. PROCEDURES WHEN CLERK PROCESSES ABSENTEE BALLOTS PRIOR TO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