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Election</w:t>
      </w:r>
    </w:p>
    <w:p>
      <w:pPr>
        <w:jc w:val="both"/>
        <w:spacing w:before="100" w:after="100"/>
        <w:ind w:start="360"/>
        <w:ind w:firstLine="360"/>
      </w:pPr>
      <w:r>
        <w:rPr/>
      </w:r>
      <w:r>
        <w:rPr/>
      </w:r>
      <w:r>
        <w:t xml:space="preserve">In a presidential election year, the presidential electors shall be chosen at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for presidential candidate construed.</w:t>
        <w:t xml:space="preserve"> </w:t>
      </w:r>
      <w:r>
        <w:t xml:space="preserve"> </w:t>
      </w:r>
      <w:r>
        <w:t xml:space="preserve">A vote for the candidate for President is a vote for the presidential electors nominated by the candidate's political party or by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§17 (AMD).]</w:t>
      </w:r>
    </w:p>
    <w:p>
      <w:pPr>
        <w:jc w:val="both"/>
        <w:spacing w:before="100" w:after="0"/>
        <w:ind w:start="360"/>
        <w:ind w:firstLine="360"/>
      </w:pPr>
      <w:r>
        <w:rPr>
          <w:b/>
        </w:rPr>
        <w:t>2</w:t>
        <w:t xml:space="preserve">.  </w:t>
      </w:r>
      <w:r>
        <w:rPr>
          <w:b/>
        </w:rPr>
        <w:t xml:space="preserve">Counting of ballots.</w:t>
        <w:t xml:space="preserve"> </w:t>
      </w:r>
      <w:r>
        <w:t xml:space="preserve"> </w:t>
      </w:r>
      <w:r>
        <w:t xml:space="preserve">Counting of ballots for candidates for President must proceed according to the ranked‑choice method of counting votes described in </w:t>
      </w:r>
      <w:r>
        <w:t>section 723‑A</w:t>
      </w:r>
      <w:r>
        <w:t xml:space="preserve">, with the exception of </w:t>
      </w:r>
      <w:r>
        <w:t>subsection 7</w:t>
      </w:r>
      <w:r>
        <w:t xml:space="preserve">.  If the National Popular Vote for President Act governs the manner of appointing presidential electors, counting of ballots must proceed according to the ranked-choice method of counting votes as described in </w:t>
      </w:r>
      <w:r>
        <w:t>section 723‑A,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516, §17 (AMD). PL 2019, c. 539, §4 (AMD). PL 2023, c. 628,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§801.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