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Directions for voting</w:t>
      </w:r>
    </w:p>
    <w:p>
      <w:pPr>
        <w:jc w:val="both"/>
        <w:spacing w:before="100" w:after="100"/>
        <w:ind w:start="360"/>
        <w:ind w:firstLine="360"/>
      </w:pPr>
      <w:r>
        <w:rPr/>
      </w:r>
      <w:r>
        <w:rPr/>
      </w:r>
      <w:r>
        <w:t xml:space="preserve">A voter must follow the same procedure before voting as if paper ballots were being used. The voter is entitled to the same assistance in voting by machine as by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 Directions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Directions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§823. DIRECTIONS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