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w:t>
        <w:t xml:space="preserve">.  </w:t>
      </w:r>
      <w:r>
        <w:rPr>
          <w:b/>
        </w:rPr>
        <w:t xml:space="preserve">Application of provisions to voting by machine</w:t>
      </w:r>
    </w:p>
    <w:p>
      <w:pPr>
        <w:jc w:val="both"/>
        <w:spacing w:before="100" w:after="100"/>
        <w:ind w:start="360"/>
        <w:ind w:firstLine="360"/>
      </w:pPr>
      <w:r>
        <w:rPr/>
      </w:r>
      <w:r>
        <w:rPr/>
      </w:r>
      <w:r>
        <w:t xml:space="preserve">The provisions of this Title which are not inconsistent with this Article apply to all elections where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 Application of provisions to voting by machine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 Application of provisions to voting by machine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§830. APPLICATION OF PROVISIONS TO VOTING BY MACHINE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