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Test of electronic tabulating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Test of electronic tabulating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§854. TEST OF ELECTRONIC TABULATING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