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902-A</w:t>
        <w:t xml:space="preserve">.  </w:t>
      </w:r>
      <w:r>
        <w:rPr>
          <w:b/>
        </w:rPr>
        <w:t xml:space="preserve">Copies of petitions required</w:t>
      </w:r>
    </w:p>
    <w:p>
      <w:pPr>
        <w:jc w:val="both"/>
        <w:spacing w:before="100" w:after="100"/>
        <w:ind w:start="360"/>
        <w:ind w:firstLine="360"/>
      </w:pPr>
      <w:r>
        <w:rPr/>
      </w:r>
      <w:r>
        <w:rPr/>
      </w:r>
      <w:r>
        <w:t xml:space="preserve">If the registrar or clerk suspects that a petition was submitted in violation of any provision of this chapter, the registrar or clerk shall immediately notify the Secretary of State and provide a copy of the petition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§902-A. Copies of petitions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§902-A. Copies of petitions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§902-A. COPIES OF PETITIONS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