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Definitions</w:t>
      </w:r>
    </w:p>
    <w:p>
      <w:pPr>
        <w:jc w:val="both"/>
        <w:spacing w:before="100" w:after="100"/>
        <w:ind w:start="360"/>
        <w:ind w:firstLine="360"/>
      </w:pPr>
      <w:r>
        <w:rPr/>
      </w:r>
      <w:r>
        <w:rPr/>
      </w:r>
      <w:r>
        <w:t xml:space="preserve">As used in this 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w:pPr>
        <w:jc w:val="both"/>
        <w:spacing w:before="100" w:after="0"/>
        <w:ind w:start="360"/>
        <w:ind w:firstLine="360"/>
      </w:pPr>
      <w:r>
        <w:rPr>
          <w:b/>
        </w:rPr>
        <w:t>1-A</w:t>
        <w:t xml:space="preserve">.  </w:t>
      </w:r>
      <w:r>
        <w:rPr>
          <w:b/>
        </w:rPr>
        <w:t xml:space="preserve">Adult developmental services.</w:t>
        <w:t xml:space="preserve"> </w:t>
      </w:r>
      <w:r>
        <w:t xml:space="preserve"> </w:t>
      </w:r>
      <w:r>
        <w:t xml:space="preserve">"Adult developmental services" has the same meaning as in </w:t>
      </w:r>
      <w:r>
        <w:t>Title 34‑B, section 1001,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§49 (NEW).]</w:t>
      </w:r>
    </w:p>
    <w:p>
      <w:pPr>
        <w:jc w:val="both"/>
        <w:spacing w:before="100" w:after="0"/>
        <w:ind w:start="360"/>
        <w:ind w:firstLine="360"/>
      </w:pPr>
      <w:r>
        <w:rPr>
          <w:b/>
        </w:rPr>
        <w:t>1-B</w:t>
        <w:t xml:space="preserve">.  </w:t>
      </w:r>
      <w:r>
        <w:rPr>
          <w:b/>
        </w:rPr>
        <w:t xml:space="preserve">Acquired brain injury.</w:t>
        <w:t xml:space="preserve"> </w:t>
      </w:r>
      <w:r>
        <w:t xml:space="preserve"> </w:t>
      </w:r>
      <w:r>
        <w:t xml:space="preserve">"Acquired brain injury" has the same meaning as in </w:t>
      </w:r>
      <w:r>
        <w:t>Title 22, section 3086,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§1 (NEW).]</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w:pPr>
        <w:jc w:val="both"/>
        <w:spacing w:before="100" w:after="0"/>
        <w:ind w:start="360"/>
        <w:ind w:firstLine="360"/>
      </w:pPr>
      <w:r>
        <w:rPr>
          <w:b/>
        </w:rPr>
        <w:t>3</w:t>
        <w:t xml:space="preserve">.  </w:t>
      </w:r>
      <w:r>
        <w:rPr>
          <w:b/>
        </w:rPr>
        <w:t xml:space="preserve">Seal.</w:t>
        <w:t xml:space="preserve"> </w:t>
      </w:r>
      <w:r>
        <w:t xml:space="preserve"> </w:t>
      </w:r>
      <w:r>
        <w:t xml:space="preserve">The department has an official seal which must be judicially noticed.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§A1 (NEW). PL 2011, c. 542, Pt. A, §49 (AMD). PL 2021, c. 284, Pt. A,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22-A, §101.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