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1061</w:t>
      </w:r>
    </w:p>
    <w:p>
      <w:pPr>
        <w:jc w:val="center"/>
        <w:ind w:start="360"/>
        <w:spacing w:before="300" w:after="300"/>
      </w:pPr>
      <w:r>
        <w:rPr>
          <w:b/>
        </w:rPr>
        <w:t xml:space="preserve">LONG-TERM FOSTER CARE</w:t>
      </w:r>
    </w:p>
    <w:p>
      <w:pPr>
        <w:jc w:val="both"/>
        <w:spacing w:before="100" w:after="100"/>
        <w:ind w:start="1080" w:hanging="720"/>
      </w:pPr>
      <w:r>
        <w:rPr>
          <w:b/>
        </w:rPr>
        <w:t>§</w:t>
        <w:t>3901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3904</w:t>
        <w:t xml:space="preserve">.  </w:t>
      </w:r>
      <w:r>
        <w:rPr>
          <w:b/>
        </w:rPr>
        <w:t xml:space="preserve">Duty and authority delegated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jc w:val="both"/>
        <w:spacing w:before="100" w:after="100"/>
        <w:ind w:start="1080" w:hanging="720"/>
      </w:pPr>
      <w:r>
        <w:rPr>
          <w:b/>
        </w:rPr>
        <w:t>§</w:t>
        <w:t>3906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1977, c. 694, §369 (RPR).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1061.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1061.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