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405-C</w:t>
      </w:r>
    </w:p>
    <w:p>
      <w:pPr>
        <w:jc w:val="center"/>
        <w:ind w:start="360"/>
        <w:spacing w:before="300" w:after="300"/>
      </w:pPr>
      <w:r>
        <w:rPr>
          <w:b/>
        </w:rPr>
        <w:t xml:space="preserve">TUBERCULOSIS SANATORIUMS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§B7 (REV). RR 2021, c. 2, Pt. B, §109 (COR). PL 2023, c. 405, Pt. A, §52 (RP). </w:t>
      </w:r>
    </w:p>
    <w:p>
      <w:pPr>
        <w:jc w:val="both"/>
        <w:spacing w:before="100" w:after="100"/>
        <w:ind w:start="1080" w:hanging="720"/>
      </w:pPr>
      <w:r>
        <w:rPr>
          <w:b/>
        </w:rPr>
        <w:t>§</w:t>
        <w:t>1872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§B6 (REV).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405-C. TUBERCULOSIS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405-C. TUBERCULOSIS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405-C. TUBERCULOSIS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