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565</w:t>
      </w:r>
    </w:p>
    <w:p>
      <w:pPr>
        <w:jc w:val="center"/>
        <w:ind w:start="360"/>
        <w:spacing w:before="300" w:after="300"/>
      </w:pPr>
      <w:r>
        <w:rPr>
          <w:b/>
        </w:rPr>
        <w:t xml:space="preserve">GENETICALLY ENGINEERED PRODUCTS</w:t>
      </w:r>
    </w:p>
    <w:p>
      <w:pPr>
        <w:jc w:val="center"/>
        <w:ind w:start="360"/>
        <w:spacing w:before="300" w:after="300"/>
      </w:pPr>
      <w:r>
        <w:rPr>
          <w:b/>
        </w:rPr>
        <w:t>REVISOR'S NOTE:  PUBLIC LAW 2013, CHAPTER 436, SECTION 2 CONTAINED A CONTINGENT EFFECTIVE DATE AND A CONTINGENT REPEAL.  BECAUSE CERTIFICATION WAS NOT RECEIVED BEFORE JANUARY 1, 2018, AS REQUIRED BY THE CONTINGENCY, THE ACT WAS REPEALED ON JANUARY 1, 2018, AND TITLE 22, CHAPTER 565 NEVER TOOK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565. GENETICALLY ENGINEERED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565. GENETICALLY ENGINEERED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565. GENETICALLY ENGINEERED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