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Annual report</w:t>
      </w:r>
    </w:p>
    <w:p>
      <w:pPr>
        <w:jc w:val="both"/>
        <w:spacing w:before="100" w:after="100"/>
        <w:ind w:start="360"/>
        <w:ind w:firstLine="360"/>
      </w:pPr>
      <w:r>
        <w:rPr/>
      </w:r>
      <w:r>
        <w:rPr/>
      </w:r>
      <w:r>
        <w:t xml:space="preserve">The department shall prepare and submit to the Governor annual reports containing statewide prevalence and incidence estimates of amyotrophic lateral sclerosis, including any trends occurring over time across the State.  The reports may not contain any information that directly or indirectly identifies individual persons.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§1414.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