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1471-U</w:t>
        <w:t xml:space="preserve">.  </w:t>
      </w:r>
      <w:r>
        <w:rPr>
          <w:b/>
        </w:rPr>
        <w:t xml:space="preserve">Municipal ordinances</w:t>
      </w:r>
    </w:p>
    <w:p>
      <w:pPr>
        <w:jc w:val="both"/>
        <w:spacing w:before="100" w:after="0"/>
        <w:ind w:start="360"/>
        <w:ind w:firstLine="360"/>
      </w:pPr>
      <w:r>
        <w:rPr>
          <w:b/>
        </w:rPr>
        <w:t>1</w:t>
        <w:t xml:space="preserve">.  </w:t>
      </w:r>
      <w:r>
        <w:rPr>
          <w:b/>
        </w:rPr>
        <w:t xml:space="preserve">Centralized listing.</w:t>
        <w:t xml:space="preserve"> </w:t>
      </w:r>
      <w:r>
        <w:t xml:space="preserve"> </w:t>
      </w:r>
      <w:r>
        <w:t xml:space="preserve">The Board of Pesticides Control shall maintain for informational purposes, for the entire State, a centralized listing of municipal ordinances that specifically apply to pesticide storage, distribution 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§1 (RPR).]</w:t>
      </w:r>
    </w:p>
    <w:p>
      <w:pPr>
        <w:jc w:val="both"/>
        <w:spacing w:before="100" w:after="0"/>
        <w:ind w:start="360"/>
        <w:ind w:firstLine="360"/>
      </w:pPr>
      <w:r>
        <w:rPr>
          <w:b/>
        </w:rPr>
        <w:t>2</w:t>
        <w:t xml:space="preserve">.  </w:t>
      </w:r>
      <w:r>
        <w:rPr>
          <w:b/>
        </w:rPr>
        <w:t xml:space="preserve">Existing ordinances.</w:t>
        <w:t xml:space="preserve"> </w:t>
      </w:r>
      <w:r>
        <w:t xml:space="preserve"> </w:t>
      </w:r>
      <w:r>
        <w:t xml:space="preserve">The clerk of any municipality which, on the effective date of this section, has an ordinance to be listed under </w:t>
      </w:r>
      <w:r>
        <w:t>subsection 1</w:t>
      </w:r>
      <w:r>
        <w:t xml:space="preserve"> shall file a copy of that ordinance with the board by December 31,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§1 (RPR).]</w:t>
      </w:r>
    </w:p>
    <w:p>
      <w:pPr>
        <w:jc w:val="both"/>
        <w:spacing w:before="100" w:after="0"/>
        <w:ind w:start="360"/>
        <w:ind w:firstLine="360"/>
      </w:pPr>
      <w:r>
        <w:rPr>
          <w:b/>
        </w:rPr>
        <w:t>3</w:t>
        <w:t xml:space="preserve">.  </w:t>
      </w:r>
      <w:r>
        <w:rPr>
          <w:b/>
        </w:rPr>
        <w:t xml:space="preserve">New ordinances.</w:t>
        <w:t xml:space="preserve"> </w:t>
      </w:r>
      <w:r>
        <w:t xml:space="preserve"> </w:t>
      </w:r>
      <w:r>
        <w:t xml:space="preserve">The clerk of the municipality shall provide the board with notice and a copy of any ordinance to be listed under </w:t>
      </w:r>
      <w:r>
        <w:t>subsection 1</w:t>
      </w:r>
      <w:r>
        <w:t xml:space="preserve"> at least 7 days prior to the meeting of the legislative body or the public hearing at which adoption of the ordinance will be considered. The clerk shall notify the board within 30 days after adoption of the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§1 (RPR).]</w:t>
      </w:r>
    </w:p>
    <w:p>
      <w:pPr>
        <w:jc w:val="both"/>
        <w:spacing w:before="100" w:after="0"/>
        <w:ind w:start="360"/>
        <w:ind w:firstLine="360"/>
      </w:pPr>
      <w:r>
        <w:rPr>
          <w:b/>
        </w:rPr>
        <w:t>4</w:t>
        <w:t xml:space="preserve">.  </w:t>
      </w:r>
      <w:r>
        <w:rPr>
          <w:b/>
        </w:rPr>
        <w:t xml:space="preserve">Intent.</w:t>
        <w:t xml:space="preserve"> </w:t>
      </w:r>
      <w:r>
        <w:t xml:space="preserve"> </w:t>
      </w:r>
      <w:r>
        <w:t xml:space="preserve">It is the intent of this section to provide information on municipal ordinances.  This section shall not affect municipal authority to enact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§1 (RPR).]</w:t>
      </w:r>
    </w:p>
    <w:p>
      <w:pPr>
        <w:jc w:val="both"/>
        <w:spacing w:before="100" w:after="0"/>
        <w:ind w:start="360"/>
        <w:ind w:firstLine="360"/>
      </w:pPr>
      <w:r>
        <w:rPr>
          <w:b/>
        </w:rPr>
        <w:t>5</w:t>
        <w:t xml:space="preserve">.  </w:t>
      </w:r>
      <w:r>
        <w:rPr>
          <w:b/>
        </w:rPr>
        <w:t xml:space="preserve">Failure to file.</w:t>
        <w:t xml:space="preserve"> </w:t>
      </w:r>
      <w:r>
        <w:t xml:space="preserve"> </w:t>
      </w:r>
      <w:r>
        <w:t xml:space="preserve">For any ordinance which is not filed with the board, with notice given to the board in accordance with this section, which is otherwise valid under the laws of this State, any provision that specifically applies to storage, distribution or use of pesticides shall be considered void and of no effect after the deadline for filing and until the board is given proper notice and the ordinance is filed with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§6 (NEW). PL 1987, c. 723, §§4,6 (NEW). PL 1989, c. 93,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§1471-U. Municipal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§1471-U. Municipal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§1471-U. MUNICIPAL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