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2011, c. 337, §2 (RPR).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