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§1551-A. RETAIL TOBACCO SALES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