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1580-F</w:t>
        <w:t xml:space="preserve">.  </w:t>
      </w:r>
      <w:r>
        <w:rPr>
          <w:b/>
        </w:rPr>
        <w:t xml:space="preserve">Furnishing or allowing consumption of tobacco products by certain persons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"Minor" means a person who has not reached the age of 21 years,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"Tobacco product" has the same meaning as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100"/>
        <w:ind w:start="360"/>
        <w:ind w:firstLine="360"/>
      </w:pPr>
      <w:r>
        <w:rPr>
          <w:b/>
        </w:rPr>
        <w:t>2</w:t>
        <w:t xml:space="preserve">.  </w:t>
      </w:r>
      <w:r>
        <w:rPr>
          <w:b/>
        </w:rPr>
        <w:t xml:space="preserve">Offense.</w:t>
        <w:t xml:space="preserve"> </w:t>
      </w:r>
      <w:r>
        <w:t xml:space="preserve"> </w:t>
      </w:r>
      <w:r>
        <w:t xml:space="preserve">Except as provided in </w:t>
      </w:r>
      <w:r>
        <w:t>subsection 3</w:t>
      </w:r>
      <w:r>
        <w:t xml:space="preserve">, a person who is 21 years of age or older may not knowingly:</w:t>
      </w:r>
    </w:p>
    <w:p>
      <w:pPr>
        <w:jc w:val="both"/>
        <w:spacing w:before="100" w:after="0"/>
        <w:ind w:start="720"/>
      </w:pPr>
      <w:r>
        <w:rPr/>
        <w:t>A</w:t>
        <w:t xml:space="preserve">.  </w:t>
      </w:r>
      <w:r>
        <w:rPr/>
      </w:r>
      <w:r>
        <w:t xml:space="preserve">Procure, or in any way aid or assist in procuring, furnish, give, sell or deliver a tobacco product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w:pPr>
        <w:jc w:val="both"/>
        <w:spacing w:before="100" w:after="0"/>
        <w:ind w:start="720"/>
      </w:pPr>
      <w:r>
        <w:rPr/>
        <w:t>B</w:t>
        <w:t xml:space="preserve">.  </w:t>
      </w:r>
      <w:r>
        <w:rPr/>
      </w:r>
      <w:r>
        <w:t xml:space="preserve">Allow a minor under that person's control or in a place under that person's control to possess or consume a tobacco product.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a licensee under </w:t>
      </w:r>
      <w:r>
        <w:t>chapter 262‑A</w:t>
      </w:r>
      <w:r>
        <w:t xml:space="preserve"> or an agent of that licensee in the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§1580-F. Furnishing or allowing consumption of tobacco products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§1580-F. FURNISHING OR ALLOWING CONSUMPTION OF TOBACCO PRODUCTS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