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Permit required</w:t>
      </w:r>
    </w:p>
    <w:p>
      <w:pPr>
        <w:jc w:val="both"/>
        <w:spacing w:before="100" w:after="0"/>
        <w:ind w:start="360"/>
        <w:ind w:firstLine="360"/>
      </w:pPr>
      <w:r>
        <w:rPr>
          <w:b/>
        </w:rPr>
        <w:t>1</w:t>
        <w:t xml:space="preserve">.  </w:t>
      </w:r>
      <w:r>
        <w:rPr>
          <w:b/>
        </w:rPr>
        <w:t xml:space="preserve">Hazard.</w:t>
        <w:t xml:space="preserve"> </w:t>
      </w:r>
      <w:r>
        <w:t xml:space="preserve"> </w:t>
      </w:r>
      <w:r>
        <w:t xml:space="preserve">The Legislature finds that mass outdoor gatherings frequently create a hazard to the public health, safety and peace. Accordingly, it is deemed to be appropriate and in the interest of the public welfare to regulate the conduct of such gatherings in order to protect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2</w:t>
        <w:t xml:space="preserve">.  </w:t>
      </w:r>
      <w:r>
        <w:rPr>
          <w:b/>
        </w:rPr>
        <w:t xml:space="preserve">Mass outdoor gatherings.</w:t>
        <w:t xml:space="preserve"> </w:t>
      </w:r>
      <w:r>
        <w:t xml:space="preserve"> </w:t>
      </w:r>
      <w:r>
        <w:t xml:space="preserve">For the purposes of this chapter, a mass outdoor gathering shall be deemed to mean any gathering held outdoors with the intent to attract the continued attendance of 2,000 or more persons for 12 or more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3</w:t>
        <w:t xml:space="preserve">.  </w:t>
      </w:r>
      <w:r>
        <w:rPr>
          <w:b/>
        </w:rPr>
        <w:t xml:space="preserve">Permit required.</w:t>
        <w:t xml:space="preserve"> </w:t>
      </w:r>
      <w:r>
        <w:t xml:space="preserve"> </w:t>
      </w:r>
      <w:r>
        <w:t xml:space="preserve">No person, corporation, partnership, association or group of any kind shall sponsor, promote or conduct a mass outdoor gathering until a permit has been obtained from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§1601.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