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Bureau of Health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RR 2021, c. 2, Pt. B,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