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1696-I</w:t>
        <w:t xml:space="preserve">.  </w:t>
      </w:r>
      <w:r>
        <w:rPr>
          <w:b/>
        </w:rPr>
        <w:t xml:space="preserve">Noncommercial fishing and public health</w:t>
      </w:r>
    </w:p>
    <w:p>
      <w:pPr>
        <w:jc w:val="both"/>
        <w:spacing w:before="100" w:after="100"/>
        <w:ind w:start="360"/>
        <w:ind w:firstLine="360"/>
      </w:pPr>
      <w:r>
        <w:rPr/>
      </w:r>
      <w:r>
        <w:rPr/>
      </w:r>
      <w:r>
        <w:t xml:space="preserve">The Director of the Bureau of Health shall assess regularly whether any health threats exist for persons consuming freshwater and anadromous fish caught in state waters by noncommercial anglers.  The assessment must be based on appropriate technical and scientific data and public health analyses and must include, but is not limited to, the risk of carcinogenic, mutagenic, teratogenic and reproductive effects and infectious disease.  In preparing the assessment, the director shall consult with the Commissioner of Marine Resources, the Commissioner of Environmental Protection and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1993, c. 280, §1 (NEW).]</w:t>
      </w:r>
    </w:p>
    <w:p>
      <w:pPr>
        <w:jc w:val="both"/>
        <w:spacing w:before="100" w:after="100"/>
        <w:ind w:start="360"/>
        <w:ind w:firstLine="360"/>
      </w:pPr>
      <w:r>
        <w:rPr/>
      </w:r>
      <w:r>
        <w:rPr/>
      </w:r>
      <w:r>
        <w:t xml:space="preserve">If, in the professional judgment of the Director of the Bureau of Health, conditions exist in which consumption of fish caught in state waters poses a threat to public health, the director shall prepare an advisory of the public health threat.  The advisory must be in a form suitable for posting in places frequented by noncommercial anglers.  The director has final authority regarding the content of the advisory, including the exact language used in the advisory.  The Commissioner of Inland Fisheries and Wildlife is responsible for printing and posting verbatim copies of the advisory and for incorporating the verbatim health advisory in the abstract of fish and wildlife laws.</w:t>
      </w:r>
      <w:r>
        <w:t xml:space="preserve">  </w:t>
      </w:r>
      <w:r xmlns:wp="http://schemas.openxmlformats.org/drawingml/2010/wordprocessingDrawing" xmlns:w15="http://schemas.microsoft.com/office/word/2012/wordml">
        <w:rPr>
          <w:rFonts w:ascii="Arial" w:hAnsi="Arial" w:cs="Arial"/>
          <w:sz w:val="22"/>
          <w:szCs w:val="22"/>
        </w:rPr>
        <w:t xml:space="preserve">[PL 2007, c. 539, Pt. E,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280, §1 (NEW). PL 2003, c. 414, §B35 (AMD). PL 2003, c. 414, §D7 (AFF). PL 2003, c. 614, §9 (AFF). PL 2007, c. 539, Pt. E,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§1696-I. Noncommercial fishing and public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§1696-I. Noncommercial fishing and public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§1696-I. NONCOMMERCIAL FISHING AND PUBLIC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