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1714-C</w:t>
        <w:t xml:space="preserve">.  </w:t>
      </w:r>
      <w:r>
        <w:rPr>
          <w:b/>
        </w:rPr>
        <w:t xml:space="preserve">Critical access hospital staff enhancement reimbursement</w:t>
      </w:r>
    </w:p>
    <w:p>
      <w:pPr>
        <w:jc w:val="both"/>
        <w:spacing w:before="100" w:after="100"/>
        <w:ind w:start="360"/>
        <w:ind w:firstLine="360"/>
      </w:pPr>
      <w:r>
        <w:rPr/>
      </w:r>
      <w:r>
        <w:rPr/>
      </w:r>
      <w:r>
        <w:t xml:space="preserve">From April 1, 2011 to December 31, 2024, the department shall reimburse critical access hospitals from the total allocated from hospital tax revenues under </w:t>
      </w:r>
      <w:r>
        <w:t>Title 36, chapter 377</w:t>
      </w:r>
      <w:r>
        <w:t xml:space="preserve"> at least $1,000,000 in state and federal funds to be distributed annually among critical access hospitals for staff enhancement payments.</w:t>
      </w:r>
      <w:r>
        <w:t xml:space="preserve">  </w:t>
      </w:r>
      <w:r xmlns:wp="http://schemas.openxmlformats.org/drawingml/2010/wordprocessingDrawing" xmlns:w15="http://schemas.microsoft.com/office/word/2012/wordml">
        <w:rPr>
          <w:rFonts w:ascii="Arial" w:hAnsi="Arial" w:cs="Arial"/>
          <w:sz w:val="22"/>
          <w:szCs w:val="22"/>
        </w:rPr>
        <w:t xml:space="preserve">[PL 2023, c. 643, Pt. 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§2 (NEW). PL 2011, c. 548, §8 (AMD). PL 2023, c. 643, Pt. LL,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§1714-C. Critical access hospital staff enhancement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§1714-C. Critical access hospital staff enhancement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§1714-C. CRITICAL ACCESS HOSPITAL STAFF ENHANCEMENT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