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Personal funds of residents</w:t>
      </w:r>
    </w:p>
    <w:p>
      <w:pPr>
        <w:jc w:val="both"/>
        <w:spacing w:before="100" w:after="100"/>
        <w:ind w:start="360"/>
        <w:ind w:firstLine="360"/>
      </w:pPr>
      <w:r>
        <w:rPr/>
      </w:r>
      <w:r>
        <w:rPr/>
      </w:r>
      <w:r>
        <w:t xml:space="preserve">The operator or agent of any skilled nursing or intermediate care facility, licensed pursuant to this chapter, who manages, holds or deposits the personal funds of any resident of the facility is subject to all the procedures and provisions included in </w:t>
      </w:r>
      <w:r>
        <w:t>section 7857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§6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§4 (NEW). PL 2001, c. 596, §B6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§1824.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§1824.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