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Recovery of state funds</w:t>
      </w:r>
    </w:p>
    <w:p>
      <w:pPr>
        <w:jc w:val="both"/>
        <w:spacing w:before="100" w:after="100"/>
        <w:ind w:start="360"/>
        <w:ind w:firstLine="360"/>
      </w:pPr>
      <w:r>
        <w:rPr/>
      </w:r>
      <w:r>
        <w:rPr/>
      </w:r>
      <w:r>
        <w:t xml:space="preserve">Upon notification that a health care institution has paid an amount for a disallowed expenditure, the department shall make a determination as to the amount of the disallowed expenditure.  The department shall withhold an amount equal to a proportional share of the amount of the disallowed expenditure, according to a schedule determined by the department, from future payments of medical assistance reimbursements to be received by the health care institution.  If that agency or court determination of a violation is under appeal, the withholding shall be stayed pending a final adverse decision against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 Recovery of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Recovery of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§1863. RECOVERY OF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