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Director</w:t>
      </w:r>
    </w:p>
    <w:p>
      <w:pPr>
        <w:jc w:val="both"/>
        <w:spacing w:before="100" w:after="100"/>
        <w:ind w:start="360"/>
        <w:ind w:firstLine="360"/>
      </w:pPr>
      <w:r>
        <w:rPr/>
      </w:r>
      <w:r>
        <w:rPr/>
      </w:r>
      <w:r>
        <w:t xml:space="preserve">The Director of the Public Health Nursing Program must be licensed as a registered nurse in the State and shall have education and experience in community health nursing.</w:t>
      </w:r>
      <w:r>
        <w:t xml:space="preserve">  </w:t>
      </w:r>
      <w:r xmlns:wp="http://schemas.openxmlformats.org/drawingml/2010/wordprocessingDrawing" xmlns:w15="http://schemas.microsoft.com/office/word/2012/wordml">
        <w:rPr>
          <w:rFonts w:ascii="Arial" w:hAnsi="Arial" w:cs="Arial"/>
          <w:sz w:val="22"/>
          <w:szCs w:val="22"/>
        </w:rPr>
        <w:t xml:space="preserve">[PL 1995, c. 502,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1985, c. 785, §B86 (AMD). PL 1995, c. 502,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§1962.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§1962.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