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Inspection</w:t>
      </w:r>
    </w:p>
    <w:p>
      <w:pPr>
        <w:jc w:val="both"/>
        <w:spacing w:before="100" w:after="100"/>
        <w:ind w:start="360"/>
        <w:ind w:firstLine="360"/>
      </w:pPr>
      <w:r>
        <w:rPr/>
      </w:r>
      <w:r>
        <w:rPr/>
      </w:r>
      <w:r>
        <w:t xml:space="preserve">The department is authorized to inspect the premises and operations of all medical laboratories, subject to licensure or any provisions under this Act.</w:t>
      </w:r>
      <w:r>
        <w:t xml:space="preserve">  </w:t>
      </w:r>
      <w:r xmlns:wp="http://schemas.openxmlformats.org/drawingml/2010/wordprocessingDrawing" xmlns:w15="http://schemas.microsoft.com/office/word/2012/wordml">
        <w:rPr>
          <w:rFonts w:ascii="Arial" w:hAnsi="Arial" w:cs="Arial"/>
          <w:sz w:val="22"/>
          <w:szCs w:val="22"/>
        </w:rPr>
        <w:t xml:space="preserve">[PL 1987, c. 211,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§2024.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§2024.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