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2025</w:t>
        <w:t xml:space="preserve">.  </w:t>
      </w:r>
      <w:r>
        <w:rPr>
          <w:b/>
        </w:rPr>
        <w:t xml:space="preserve">Performance evaluation</w:t>
      </w:r>
    </w:p>
    <w:p>
      <w:pPr>
        <w:jc w:val="both"/>
        <w:spacing w:before="100" w:after="100"/>
        <w:ind w:start="360"/>
        <w:ind w:firstLine="360"/>
      </w:pPr>
      <w:r>
        <w:rPr/>
      </w:r>
      <w:r>
        <w:rPr/>
      </w:r>
      <w:r>
        <w:t xml:space="preserve">The department shall require the demonstration of proficiency in the performance of the tests offered by laboratories subject to licensure or the provisions of this paragraph through successful participation in a proficiency testing program acceptable to the department covering all categories or subcategories in which testing is offered. Evaluated copies of results shall be forwarded to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600,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1987, c. 211, §8 (RPR). PL 1993, c. 600, §B10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§2025. Performance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§2025. Performance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§2025. PERFORMANCE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