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subsection 1-B; or</w:t>
      </w:r>
    </w:p>
    <w:p>
      <w:pPr>
        <w:jc w:val="both"/>
        <w:spacing w:before="100" w:after="0"/>
        <w:ind w:start="1080"/>
      </w:pPr>
      <w:r>
        <w:rPr/>
        <w:t>(</w:t>
        <w:t>2</w:t>
        <w:t xml:space="preserve">)  </w:t>
      </w:r>
      <w:r>
        <w:rPr/>
      </w:r>
      <w:r>
        <w:t xml:space="preserve">Provide an annual report that includes the documentation required by subsection 1-D.</w:t>
      </w:r>
      <w:r>
        <w:t xml:space="preserve">  </w:t>
      </w:r>
      <w:r xmlns:wp="http://schemas.openxmlformats.org/drawingml/2010/wordprocessingDrawing" xmlns:w15="http://schemas.microsoft.com/office/word/2012/wordml">
        <w:rPr>
          <w:rFonts w:ascii="Arial" w:hAnsi="Arial" w:cs="Arial"/>
          <w:sz w:val="22"/>
          <w:szCs w:val="22"/>
        </w:rPr>
        <w:t xml:space="preserve">[RR 2023, c. 2, Pt. A,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§29 (COR).]</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RR 2023,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§2131.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